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11 – PRODUITS DU TERROIR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Les prix sont jugés à partir d’une simulation de commande (cf. panier-type de commande). </w:t>
      </w:r>
    </w:p>
    <w:p>
      <w:pPr>
        <w:spacing w:after="0"/>
        <w:jc w:val="both"/>
        <w:rPr>
          <w:rFonts w:ascii="Arial" w:hAnsi="Arial" w:cs="Arial"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: </w:t>
      </w:r>
      <w:r>
        <w:rPr>
          <w:rFonts w:ascii="Arial" w:hAnsi="Arial" w:cs="Arial"/>
          <w:i/>
        </w:rPr>
        <w:t>voir ci-après.</w:t>
      </w: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retours,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Description relative à la sécurisation des approvisionnements </w:t>
            </w:r>
            <w:r>
              <w:rPr>
                <w:rFonts w:ascii="Arial" w:eastAsia="Times New Roman" w:hAnsi="Arial" w:cs="Arial"/>
                <w:b/>
                <w:bCs/>
              </w:rPr>
              <w:t>proposée par le candidat</w:t>
            </w:r>
          </w:p>
          <w:p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description des mesures de gestion des risques mises en œuvre pour l’exécution du marché en cas de rupture d’approvisionnement ou de pénurie totale ou partielle de matières premières,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 w:cs="Arial"/>
                <w:lang w:eastAsia="en-US"/>
              </w:rPr>
              <w:t>- description de l’organisation mise en place afin de garantir la sécurité et la continuité des approvisionnements en denrées.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tabs>
          <w:tab w:val="left" w:pos="4266"/>
        </w:tabs>
        <w:spacing w:after="0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ab/>
      </w:r>
    </w:p>
    <w:p>
      <w:pPr>
        <w:tabs>
          <w:tab w:val="left" w:pos="4266"/>
        </w:tabs>
        <w:spacing w:after="0"/>
        <w:jc w:val="both"/>
        <w:rPr>
          <w:rFonts w:ascii="Arial" w:eastAsia="Times New Roman" w:hAnsi="Arial" w:cs="Arial"/>
          <w:b/>
        </w:rPr>
      </w:pPr>
    </w:p>
    <w:p>
      <w:pPr>
        <w:tabs>
          <w:tab w:val="left" w:pos="4266"/>
        </w:tabs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lastRenderedPageBreak/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Valorisation du circuit court  </w:t>
            </w:r>
          </w:p>
          <w:p>
            <w:pPr>
              <w:spacing w:before="120" w:after="1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nombre d’intermédiaire(s) entre le premier metteur en marché (producteur) et l’acheteur (client final) : 1, 2, 3 et plus ?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594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33</cp:revision>
  <cp:lastPrinted>2025-04-24T09:02:00Z</cp:lastPrinted>
  <dcterms:created xsi:type="dcterms:W3CDTF">2026-02-20T09:21:00Z</dcterms:created>
  <dcterms:modified xsi:type="dcterms:W3CDTF">2026-05-28T08:50:00Z</dcterms:modified>
</cp:coreProperties>
</file>